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F84" w:rsidRPr="006C1F84" w:rsidRDefault="006C1F84" w:rsidP="006C1F84">
      <w:pPr>
        <w:spacing w:line="480" w:lineRule="auto"/>
        <w:rPr>
          <w:rFonts w:ascii="Times New Roman" w:hAnsi="Times New Roman" w:cs="Times New Roman"/>
          <w:sz w:val="24"/>
          <w:szCs w:val="24"/>
        </w:rPr>
      </w:pPr>
    </w:p>
    <w:p w:rsidR="006C1F84" w:rsidRPr="006C1F84" w:rsidRDefault="006C1F84" w:rsidP="006C1F84">
      <w:pPr>
        <w:spacing w:line="480" w:lineRule="auto"/>
        <w:rPr>
          <w:rFonts w:ascii="Times New Roman" w:hAnsi="Times New Roman" w:cs="Times New Roman"/>
          <w:sz w:val="24"/>
          <w:szCs w:val="24"/>
        </w:rPr>
      </w:pPr>
    </w:p>
    <w:p w:rsidR="006C1F84" w:rsidRPr="006C1F84" w:rsidRDefault="006C1F84" w:rsidP="006C1F84">
      <w:pPr>
        <w:spacing w:line="480" w:lineRule="auto"/>
        <w:rPr>
          <w:rFonts w:ascii="Times New Roman" w:hAnsi="Times New Roman" w:cs="Times New Roman"/>
          <w:sz w:val="24"/>
          <w:szCs w:val="24"/>
        </w:rPr>
      </w:pPr>
    </w:p>
    <w:p w:rsidR="006C1F84" w:rsidRPr="006C1F84" w:rsidRDefault="006C1F84" w:rsidP="006C1F84">
      <w:pPr>
        <w:spacing w:line="480" w:lineRule="auto"/>
        <w:rPr>
          <w:rFonts w:ascii="Times New Roman" w:hAnsi="Times New Roman" w:cs="Times New Roman"/>
          <w:sz w:val="24"/>
          <w:szCs w:val="24"/>
        </w:rPr>
      </w:pPr>
    </w:p>
    <w:p w:rsidR="006C1F84" w:rsidRPr="006C1F84" w:rsidRDefault="006C1F84" w:rsidP="006C1F84">
      <w:pPr>
        <w:spacing w:line="480" w:lineRule="auto"/>
        <w:rPr>
          <w:rFonts w:ascii="Times New Roman" w:hAnsi="Times New Roman" w:cs="Times New Roman"/>
          <w:sz w:val="24"/>
          <w:szCs w:val="24"/>
        </w:rPr>
      </w:pPr>
    </w:p>
    <w:p w:rsidR="006C1F84" w:rsidRPr="006C1F84" w:rsidRDefault="006C1F84" w:rsidP="006C1F84">
      <w:pPr>
        <w:spacing w:line="480" w:lineRule="auto"/>
        <w:rPr>
          <w:rFonts w:ascii="Times New Roman" w:hAnsi="Times New Roman" w:cs="Times New Roman"/>
          <w:sz w:val="24"/>
          <w:szCs w:val="24"/>
        </w:rPr>
      </w:pPr>
    </w:p>
    <w:p w:rsidR="006C1F84" w:rsidRPr="006C1F84" w:rsidRDefault="006C1F84" w:rsidP="006C1F84">
      <w:pPr>
        <w:spacing w:line="480" w:lineRule="auto"/>
        <w:rPr>
          <w:rFonts w:ascii="Times New Roman" w:hAnsi="Times New Roman" w:cs="Times New Roman"/>
          <w:sz w:val="24"/>
          <w:szCs w:val="24"/>
        </w:rPr>
      </w:pPr>
    </w:p>
    <w:p w:rsidR="006C1F84" w:rsidRPr="006C1F84" w:rsidRDefault="006C1F84" w:rsidP="006C1F84">
      <w:pPr>
        <w:spacing w:line="480" w:lineRule="auto"/>
        <w:rPr>
          <w:rFonts w:ascii="Times New Roman" w:hAnsi="Times New Roman" w:cs="Times New Roman"/>
          <w:sz w:val="24"/>
          <w:szCs w:val="24"/>
        </w:rPr>
      </w:pPr>
    </w:p>
    <w:p w:rsidR="006C1F84" w:rsidRPr="006C1F84" w:rsidRDefault="006C1F84" w:rsidP="006C1F84">
      <w:pPr>
        <w:spacing w:line="480" w:lineRule="auto"/>
        <w:rPr>
          <w:rFonts w:ascii="Times New Roman" w:hAnsi="Times New Roman" w:cs="Times New Roman"/>
          <w:sz w:val="24"/>
          <w:szCs w:val="24"/>
        </w:rPr>
      </w:pPr>
    </w:p>
    <w:p w:rsidR="006C1F84" w:rsidRPr="006C1F84" w:rsidRDefault="006C1F84" w:rsidP="006C1F84">
      <w:pPr>
        <w:spacing w:line="480" w:lineRule="auto"/>
        <w:jc w:val="center"/>
        <w:rPr>
          <w:rFonts w:ascii="Times New Roman" w:hAnsi="Times New Roman" w:cs="Times New Roman"/>
          <w:sz w:val="24"/>
          <w:szCs w:val="24"/>
        </w:rPr>
      </w:pPr>
      <w:r w:rsidRPr="006C1F84">
        <w:rPr>
          <w:rFonts w:ascii="Times New Roman" w:hAnsi="Times New Roman" w:cs="Times New Roman"/>
          <w:sz w:val="24"/>
          <w:szCs w:val="24"/>
        </w:rPr>
        <w:t>Research Paper Review.</w:t>
      </w:r>
    </w:p>
    <w:p w:rsidR="006C1F84" w:rsidRPr="006C1F84" w:rsidRDefault="006C1F84" w:rsidP="006C1F84">
      <w:pPr>
        <w:spacing w:line="480" w:lineRule="auto"/>
        <w:jc w:val="center"/>
        <w:rPr>
          <w:rFonts w:ascii="Times New Roman" w:hAnsi="Times New Roman" w:cs="Times New Roman"/>
          <w:sz w:val="24"/>
          <w:szCs w:val="24"/>
        </w:rPr>
      </w:pPr>
      <w:r w:rsidRPr="006C1F84">
        <w:rPr>
          <w:rFonts w:ascii="Times New Roman" w:hAnsi="Times New Roman" w:cs="Times New Roman"/>
          <w:sz w:val="24"/>
          <w:szCs w:val="24"/>
        </w:rPr>
        <w:t>Name.</w:t>
      </w:r>
    </w:p>
    <w:p w:rsidR="006C1F84" w:rsidRPr="006C1F84" w:rsidRDefault="006C1F84" w:rsidP="006C1F84">
      <w:pPr>
        <w:spacing w:line="480" w:lineRule="auto"/>
        <w:jc w:val="center"/>
        <w:rPr>
          <w:rFonts w:ascii="Times New Roman" w:hAnsi="Times New Roman" w:cs="Times New Roman"/>
          <w:sz w:val="24"/>
          <w:szCs w:val="24"/>
        </w:rPr>
      </w:pPr>
      <w:r w:rsidRPr="006C1F84">
        <w:rPr>
          <w:rFonts w:ascii="Times New Roman" w:hAnsi="Times New Roman" w:cs="Times New Roman"/>
          <w:sz w:val="24"/>
          <w:szCs w:val="24"/>
        </w:rPr>
        <w:t>Institution.</w:t>
      </w:r>
    </w:p>
    <w:p w:rsidR="006C1F84" w:rsidRPr="006C1F84" w:rsidRDefault="006C1F84" w:rsidP="006C1F84">
      <w:pPr>
        <w:spacing w:line="480" w:lineRule="auto"/>
        <w:jc w:val="center"/>
        <w:rPr>
          <w:rFonts w:ascii="Times New Roman" w:hAnsi="Times New Roman" w:cs="Times New Roman"/>
          <w:sz w:val="24"/>
          <w:szCs w:val="24"/>
        </w:rPr>
      </w:pPr>
      <w:r w:rsidRPr="006C1F84">
        <w:rPr>
          <w:rFonts w:ascii="Times New Roman" w:hAnsi="Times New Roman" w:cs="Times New Roman"/>
          <w:sz w:val="24"/>
          <w:szCs w:val="24"/>
        </w:rPr>
        <w:t>Date.</w:t>
      </w:r>
    </w:p>
    <w:p w:rsidR="006C1F84" w:rsidRPr="006C1F84" w:rsidRDefault="006C1F84" w:rsidP="006C1F84">
      <w:pPr>
        <w:spacing w:line="480" w:lineRule="auto"/>
        <w:rPr>
          <w:rFonts w:ascii="Times New Roman" w:hAnsi="Times New Roman" w:cs="Times New Roman"/>
          <w:sz w:val="24"/>
          <w:szCs w:val="24"/>
        </w:rPr>
      </w:pPr>
    </w:p>
    <w:p w:rsidR="006C1F84" w:rsidRPr="006C1F84" w:rsidRDefault="006C1F84" w:rsidP="006C1F84">
      <w:pPr>
        <w:spacing w:line="480" w:lineRule="auto"/>
        <w:rPr>
          <w:rFonts w:ascii="Times New Roman" w:hAnsi="Times New Roman" w:cs="Times New Roman"/>
          <w:sz w:val="24"/>
          <w:szCs w:val="24"/>
        </w:rPr>
      </w:pPr>
    </w:p>
    <w:p w:rsidR="006C1F84" w:rsidRPr="006C1F84" w:rsidRDefault="006C1F84" w:rsidP="006C1F84">
      <w:pPr>
        <w:spacing w:line="480" w:lineRule="auto"/>
        <w:rPr>
          <w:rFonts w:ascii="Times New Roman" w:hAnsi="Times New Roman" w:cs="Times New Roman"/>
          <w:sz w:val="24"/>
          <w:szCs w:val="24"/>
        </w:rPr>
      </w:pPr>
    </w:p>
    <w:p w:rsidR="006C1F84" w:rsidRPr="006C1F84" w:rsidRDefault="006C1F84" w:rsidP="006C1F84">
      <w:pPr>
        <w:spacing w:line="480" w:lineRule="auto"/>
        <w:rPr>
          <w:rFonts w:ascii="Times New Roman" w:hAnsi="Times New Roman" w:cs="Times New Roman"/>
          <w:sz w:val="24"/>
          <w:szCs w:val="24"/>
        </w:rPr>
      </w:pPr>
    </w:p>
    <w:p w:rsidR="006C1F84" w:rsidRPr="006C1F84" w:rsidRDefault="006C1F84" w:rsidP="006C1F84">
      <w:pPr>
        <w:spacing w:line="480" w:lineRule="auto"/>
        <w:rPr>
          <w:rFonts w:ascii="Times New Roman" w:hAnsi="Times New Roman" w:cs="Times New Roman"/>
          <w:sz w:val="24"/>
          <w:szCs w:val="24"/>
        </w:rPr>
      </w:pPr>
    </w:p>
    <w:p w:rsidR="00FD3ABD" w:rsidRPr="00FD3ABD" w:rsidRDefault="00FD3ABD" w:rsidP="00FD3ABD">
      <w:pPr>
        <w:spacing w:line="480" w:lineRule="auto"/>
        <w:rPr>
          <w:rFonts w:ascii="Times New Roman" w:hAnsi="Times New Roman" w:cs="Times New Roman"/>
          <w:b/>
          <w:color w:val="222222"/>
          <w:sz w:val="24"/>
          <w:szCs w:val="24"/>
          <w:shd w:val="clear" w:color="auto" w:fill="FFFFFF"/>
        </w:rPr>
      </w:pPr>
      <w:r w:rsidRPr="00FD3ABD">
        <w:rPr>
          <w:rFonts w:ascii="Times New Roman" w:hAnsi="Times New Roman" w:cs="Times New Roman"/>
          <w:b/>
          <w:color w:val="222222"/>
          <w:sz w:val="24"/>
          <w:szCs w:val="24"/>
          <w:shd w:val="clear" w:color="auto" w:fill="FFFFFF"/>
        </w:rPr>
        <w:lastRenderedPageBreak/>
        <w:t>Fagan, A. A., Wright, E. M., &amp; Pinchevsky, G. M. (2014). The protective effects of neighborhood collective efficacy on adolescent substance use and violence following exposure to violence. </w:t>
      </w:r>
      <w:r w:rsidRPr="00FD3ABD">
        <w:rPr>
          <w:rFonts w:ascii="Times New Roman" w:hAnsi="Times New Roman" w:cs="Times New Roman"/>
          <w:b/>
          <w:i/>
          <w:iCs/>
          <w:color w:val="222222"/>
          <w:sz w:val="24"/>
          <w:szCs w:val="24"/>
          <w:shd w:val="clear" w:color="auto" w:fill="FFFFFF"/>
        </w:rPr>
        <w:t>Journal of youth and adolescence</w:t>
      </w:r>
      <w:r w:rsidRPr="00FD3ABD">
        <w:rPr>
          <w:rFonts w:ascii="Times New Roman" w:hAnsi="Times New Roman" w:cs="Times New Roman"/>
          <w:b/>
          <w:color w:val="222222"/>
          <w:sz w:val="24"/>
          <w:szCs w:val="24"/>
          <w:shd w:val="clear" w:color="auto" w:fill="FFFFFF"/>
        </w:rPr>
        <w:t>, </w:t>
      </w:r>
      <w:r w:rsidRPr="00FD3ABD">
        <w:rPr>
          <w:rFonts w:ascii="Times New Roman" w:hAnsi="Times New Roman" w:cs="Times New Roman"/>
          <w:b/>
          <w:i/>
          <w:iCs/>
          <w:color w:val="222222"/>
          <w:sz w:val="24"/>
          <w:szCs w:val="24"/>
          <w:shd w:val="clear" w:color="auto" w:fill="FFFFFF"/>
        </w:rPr>
        <w:t>43</w:t>
      </w:r>
      <w:r w:rsidRPr="00FD3ABD">
        <w:rPr>
          <w:rFonts w:ascii="Times New Roman" w:hAnsi="Times New Roman" w:cs="Times New Roman"/>
          <w:b/>
          <w:color w:val="222222"/>
          <w:sz w:val="24"/>
          <w:szCs w:val="24"/>
          <w:shd w:val="clear" w:color="auto" w:fill="FFFFFF"/>
        </w:rPr>
        <w:t>(9), 1498-1512.</w:t>
      </w:r>
    </w:p>
    <w:p w:rsidR="000A4397" w:rsidRPr="006C1F84" w:rsidRDefault="000A4397" w:rsidP="006C1F84">
      <w:pPr>
        <w:spacing w:line="480" w:lineRule="auto"/>
        <w:jc w:val="center"/>
        <w:rPr>
          <w:rFonts w:ascii="Times New Roman" w:hAnsi="Times New Roman" w:cs="Times New Roman"/>
          <w:sz w:val="24"/>
          <w:szCs w:val="24"/>
        </w:rPr>
      </w:pPr>
      <w:r w:rsidRPr="006C1F84">
        <w:rPr>
          <w:rFonts w:ascii="Times New Roman" w:hAnsi="Times New Roman" w:cs="Times New Roman"/>
          <w:sz w:val="24"/>
          <w:szCs w:val="24"/>
        </w:rPr>
        <w:t>Introduction.</w:t>
      </w:r>
    </w:p>
    <w:p w:rsidR="000A4397" w:rsidRPr="006C1F84" w:rsidRDefault="000A4397" w:rsidP="006C1F84">
      <w:pPr>
        <w:spacing w:line="480" w:lineRule="auto"/>
        <w:ind w:firstLine="720"/>
        <w:rPr>
          <w:rFonts w:ascii="Times New Roman" w:hAnsi="Times New Roman" w:cs="Times New Roman"/>
          <w:sz w:val="24"/>
          <w:szCs w:val="24"/>
        </w:rPr>
      </w:pPr>
      <w:r w:rsidRPr="006C1F84">
        <w:rPr>
          <w:rFonts w:ascii="Times New Roman" w:hAnsi="Times New Roman" w:cs="Times New Roman"/>
          <w:sz w:val="24"/>
          <w:szCs w:val="24"/>
        </w:rPr>
        <w:t>In the recent past, studies have indicated that increased exposure to violence is a key contributor to many adverse crimes committed by many youths in the state. Besides this, scholars have identified that much of these crimes are attributed to the neighborhood conditions whose contribution is undetermined. Arguably, increased exposure to violence in the children neighborhood influences children’s development. Experience of violence in communities brings about aggression, mental health problems, substance abuse and increased violence in the entire society.</w:t>
      </w:r>
    </w:p>
    <w:p w:rsidR="000A4397" w:rsidRPr="006C1F84" w:rsidRDefault="000A4397" w:rsidP="006C1F84">
      <w:pPr>
        <w:spacing w:line="480" w:lineRule="auto"/>
        <w:ind w:firstLine="720"/>
        <w:rPr>
          <w:rFonts w:ascii="Times New Roman" w:hAnsi="Times New Roman" w:cs="Times New Roman"/>
          <w:sz w:val="24"/>
          <w:szCs w:val="24"/>
        </w:rPr>
      </w:pPr>
      <w:r w:rsidRPr="006C1F84">
        <w:rPr>
          <w:rFonts w:ascii="Times New Roman" w:hAnsi="Times New Roman" w:cs="Times New Roman"/>
          <w:sz w:val="24"/>
          <w:szCs w:val="24"/>
        </w:rPr>
        <w:t>The evident research conducted by Fagan et al., (2014) created an empirical understanding of the relationship between neighborhood, substance use and violence amid Adolescent. Nevertheless, the research provides possible policy options that may be put in place to mitigate the impacts of increased exposure to violence. The study is designed to investigate the resiliency among adolescent who has ever been exposed to violence through determining procedures that inspire positive adaptation (Fagan et al., 2014). In essence, the article study investigates the extent to which neighborhood collective efficacy rectify the relationship between substance use, exposure to violence and violence.</w:t>
      </w:r>
    </w:p>
    <w:p w:rsidR="000A4397" w:rsidRPr="006C1F84" w:rsidRDefault="000A4397" w:rsidP="006C1F84">
      <w:pPr>
        <w:spacing w:line="480" w:lineRule="auto"/>
        <w:jc w:val="center"/>
        <w:rPr>
          <w:rFonts w:ascii="Times New Roman" w:hAnsi="Times New Roman" w:cs="Times New Roman"/>
          <w:sz w:val="24"/>
          <w:szCs w:val="24"/>
        </w:rPr>
      </w:pPr>
      <w:r w:rsidRPr="006C1F84">
        <w:rPr>
          <w:rFonts w:ascii="Times New Roman" w:hAnsi="Times New Roman" w:cs="Times New Roman"/>
          <w:sz w:val="24"/>
          <w:szCs w:val="24"/>
        </w:rPr>
        <w:t>Evaluation and Critique.</w:t>
      </w:r>
    </w:p>
    <w:p w:rsidR="000A4397" w:rsidRPr="006C1F84" w:rsidRDefault="000A4397" w:rsidP="006C1F84">
      <w:pPr>
        <w:spacing w:line="480" w:lineRule="auto"/>
        <w:ind w:firstLine="720"/>
        <w:rPr>
          <w:rFonts w:ascii="Times New Roman" w:hAnsi="Times New Roman" w:cs="Times New Roman"/>
          <w:sz w:val="24"/>
          <w:szCs w:val="24"/>
        </w:rPr>
      </w:pPr>
      <w:r w:rsidRPr="006C1F84">
        <w:rPr>
          <w:rFonts w:ascii="Times New Roman" w:hAnsi="Times New Roman" w:cs="Times New Roman"/>
          <w:sz w:val="24"/>
          <w:szCs w:val="24"/>
        </w:rPr>
        <w:t xml:space="preserve">The research is based on the idea that neighborhood has immediate impacts on the adolescent substance use as well as exposure to violence and victimization thereafter. The idea </w:t>
      </w:r>
      <w:r w:rsidRPr="006C1F84">
        <w:rPr>
          <w:rFonts w:ascii="Times New Roman" w:hAnsi="Times New Roman" w:cs="Times New Roman"/>
          <w:sz w:val="24"/>
          <w:szCs w:val="24"/>
        </w:rPr>
        <w:lastRenderedPageBreak/>
        <w:t>has been sufficiently supported by theories which provide transparent view of the perspective. For instance, the research applied General Strain Theory which surpasses that not all victims of violence will respond to stress with different coping. Some adolescents are hardy hence they do not involve themselves in problem behaviors and they can accomplish their developmental goals even when exposed to violence (Fagan et al., 2014). Moreover, youths have different mechanisms of responding to victimization which may impact adversely. As such, some teenagers lack well-framed skills to cope with neighborhood violence exposure hence resulting in violence and substance abuse. In these negative coping mechanisms can only relieve physical and emotional pain caused by exposure to violence. The strain theory articulates that harmful effects of victimization can be controlled through social support such as strong emotional attachments to pro-social groups.</w:t>
      </w:r>
    </w:p>
    <w:p w:rsidR="000A4397" w:rsidRPr="006C1F84" w:rsidRDefault="000A4397" w:rsidP="006C1F84">
      <w:pPr>
        <w:spacing w:line="480" w:lineRule="auto"/>
        <w:ind w:firstLine="720"/>
        <w:rPr>
          <w:rFonts w:ascii="Times New Roman" w:hAnsi="Times New Roman" w:cs="Times New Roman"/>
          <w:sz w:val="24"/>
          <w:szCs w:val="24"/>
        </w:rPr>
      </w:pPr>
      <w:r w:rsidRPr="006C1F84">
        <w:rPr>
          <w:rFonts w:ascii="Times New Roman" w:hAnsi="Times New Roman" w:cs="Times New Roman"/>
          <w:sz w:val="24"/>
          <w:szCs w:val="24"/>
        </w:rPr>
        <w:t>Collective efficacy theory is the other pillar of the research. The theory investigates the neighborhood procedures that may empower both constructive and destructive aspects of youth development. More significantly, it focuses on cohesion and shared trust amid residents and their informal endeavors to control adolescent behavior. In this regard, the theory press that only communities with high cases of collective efficacy where youths and adults are more familiar of one another and hence residents are more likely to take necessary actions on behalf of the society to eradicate delinquency and crime.</w:t>
      </w:r>
    </w:p>
    <w:p w:rsidR="000A4397" w:rsidRPr="006C1F84" w:rsidRDefault="000A4397" w:rsidP="006C1F84">
      <w:pPr>
        <w:spacing w:line="480" w:lineRule="auto"/>
        <w:ind w:firstLine="720"/>
        <w:rPr>
          <w:rFonts w:ascii="Times New Roman" w:hAnsi="Times New Roman" w:cs="Times New Roman"/>
          <w:sz w:val="24"/>
          <w:szCs w:val="24"/>
        </w:rPr>
      </w:pPr>
      <w:r w:rsidRPr="006C1F84">
        <w:rPr>
          <w:rFonts w:ascii="Times New Roman" w:hAnsi="Times New Roman" w:cs="Times New Roman"/>
          <w:sz w:val="24"/>
          <w:szCs w:val="24"/>
        </w:rPr>
        <w:t xml:space="preserve">The research hypothesizes that collective efficacy will perfect the adverse effects of exposure to violence (Fagan et al., 2014). As such, it will stage out appropriate policy options to regulate the relationships between victimization, substance use, and violence attenuated in the neighborhood. Although contributions neighborhoods collective efficacy is undetermined, this hypothesis is designed with caution on its impacts to adolescent’s behaviors. In essence, review </w:t>
      </w:r>
      <w:r w:rsidRPr="006C1F84">
        <w:rPr>
          <w:rFonts w:ascii="Times New Roman" w:hAnsi="Times New Roman" w:cs="Times New Roman"/>
          <w:sz w:val="24"/>
          <w:szCs w:val="24"/>
        </w:rPr>
        <w:lastRenderedPageBreak/>
        <w:t>of the literature explains that no investigation about this claim has ever been conducted. The most recent and similar study analyzed the moderating effects of collective efficacy concerning the relationship amid youth resilience and exposure to violence. It investigated extends to both neighborhood and victimization research by testing the likelihood for the first time. The collective hypothesis efficacy will ameliorate impacts of violence to youths on substance use as well as violence.</w:t>
      </w:r>
    </w:p>
    <w:p w:rsidR="000A4397" w:rsidRPr="006C1F84" w:rsidRDefault="000A4397" w:rsidP="006C1F84">
      <w:pPr>
        <w:spacing w:line="480" w:lineRule="auto"/>
        <w:ind w:firstLine="720"/>
        <w:rPr>
          <w:rFonts w:ascii="Times New Roman" w:hAnsi="Times New Roman" w:cs="Times New Roman"/>
          <w:sz w:val="24"/>
          <w:szCs w:val="24"/>
        </w:rPr>
      </w:pPr>
      <w:r w:rsidRPr="006C1F84">
        <w:rPr>
          <w:rFonts w:ascii="Times New Roman" w:hAnsi="Times New Roman" w:cs="Times New Roman"/>
          <w:sz w:val="24"/>
          <w:szCs w:val="24"/>
        </w:rPr>
        <w:t xml:space="preserve"> Findings of the research show that exposure to violence was more rampant to the mean age of 12 years across all ethnic groups. Youths in this sample were found to report in a mean of more than two acts of violence perpetrated against them shortly before the study. Approximately 17% of the respondents testified use of tobacco, marijuana or alcohol in the recent past, assuming a mean of 0.30 substances. Also, more than 25% of the sample population testified committing any of the seven evaluated violent behaviors in the past months (Fagan et al., 2014). Besides, youths who experienced many cases of violence have higher chances of having substance use and violence in the past. </w:t>
      </w:r>
    </w:p>
    <w:p w:rsidR="000A4397" w:rsidRPr="006C1F84" w:rsidRDefault="000A4397" w:rsidP="006C1F84">
      <w:pPr>
        <w:spacing w:line="480" w:lineRule="auto"/>
        <w:ind w:firstLine="720"/>
        <w:rPr>
          <w:rFonts w:ascii="Times New Roman" w:hAnsi="Times New Roman" w:cs="Times New Roman"/>
          <w:sz w:val="24"/>
          <w:szCs w:val="24"/>
        </w:rPr>
      </w:pPr>
      <w:r w:rsidRPr="006C1F84">
        <w:rPr>
          <w:rFonts w:ascii="Times New Roman" w:hAnsi="Times New Roman" w:cs="Times New Roman"/>
          <w:sz w:val="24"/>
          <w:szCs w:val="24"/>
        </w:rPr>
        <w:t>The study provides well-framed research hypothesis which makes it the first investigation of the potential for neighborhood collective efficacy to regulate the effects of exposure to violence on youth substance use and violence. It shows how collective efficacy can be applied to mitigate youth offensiveness. Besides, the study shows factors that may better youth resiliency hence reducing negative effects of violence exposure such as trauma. The research helps in identifying both positive and negative effects of victimization following the rest hypothesis. Moreover, it provides more strong chance for developing conclusions concerning adverse effects of victimization while examining direct impacts of neighborhood collective efficacy on violence and substance use.</w:t>
      </w:r>
    </w:p>
    <w:p w:rsidR="000A4397" w:rsidRPr="006C1F84" w:rsidRDefault="000A4397" w:rsidP="006C1F84">
      <w:pPr>
        <w:spacing w:line="480" w:lineRule="auto"/>
        <w:ind w:firstLine="720"/>
        <w:rPr>
          <w:rFonts w:ascii="Times New Roman" w:hAnsi="Times New Roman" w:cs="Times New Roman"/>
          <w:sz w:val="24"/>
          <w:szCs w:val="24"/>
        </w:rPr>
      </w:pPr>
      <w:r w:rsidRPr="006C1F84">
        <w:rPr>
          <w:rFonts w:ascii="Times New Roman" w:hAnsi="Times New Roman" w:cs="Times New Roman"/>
          <w:sz w:val="24"/>
          <w:szCs w:val="24"/>
        </w:rPr>
        <w:lastRenderedPageBreak/>
        <w:t>On the other hand, the research has encountered contradiction from other researches found on collective efficacy where some of them have relied on official crime recording (Newbury et al., 2017). Despite the social support affections, the study does not recommend on the social role of mother members of the society altogether. The collective efficacy theory does not predict its significant direct impact on the increased variety of substance use.</w:t>
      </w:r>
    </w:p>
    <w:p w:rsidR="000A4397" w:rsidRPr="006C1F84" w:rsidRDefault="000A4397" w:rsidP="006C1F84">
      <w:pPr>
        <w:spacing w:line="480" w:lineRule="auto"/>
        <w:ind w:firstLine="720"/>
        <w:rPr>
          <w:rFonts w:ascii="Times New Roman" w:hAnsi="Times New Roman" w:cs="Times New Roman"/>
          <w:sz w:val="24"/>
          <w:szCs w:val="24"/>
        </w:rPr>
      </w:pPr>
      <w:r w:rsidRPr="006C1F84">
        <w:rPr>
          <w:rFonts w:ascii="Times New Roman" w:hAnsi="Times New Roman" w:cs="Times New Roman"/>
          <w:sz w:val="24"/>
          <w:szCs w:val="24"/>
        </w:rPr>
        <w:t xml:space="preserve">The study used Cohort Study Design to collect information concerning ways in which neighborhood context challenges individual development. It used 343 geographically adjoining neighborhood clusters in Chicago. The clusters were stratified by several categories of races, socio-economic status and neighborhood clusters through stratified probability sampling. Critically, researchers adopted this research design due to its efficiency. As such, the design randomizes the control study thereby avoiding unethical practices.  It identifies potential causes of problems before the outcome. Cohort study is quite flexible, and hence it provides insights to accommodate various social, cultural, political and economic changes. Moreover, a cohort study is eligible for providing primary or secondary information. The study design can offer a comparative analysis of two or more cohorts. In this regard, scholars find the study design quite essential in meeting their obligations. </w:t>
      </w:r>
    </w:p>
    <w:p w:rsidR="000A4397" w:rsidRPr="006C1F84" w:rsidRDefault="000A4397" w:rsidP="006C1F84">
      <w:pPr>
        <w:spacing w:line="480" w:lineRule="auto"/>
        <w:ind w:firstLine="720"/>
        <w:rPr>
          <w:rFonts w:ascii="Times New Roman" w:hAnsi="Times New Roman" w:cs="Times New Roman"/>
          <w:sz w:val="24"/>
          <w:szCs w:val="24"/>
        </w:rPr>
      </w:pPr>
      <w:r w:rsidRPr="006C1F84">
        <w:rPr>
          <w:rFonts w:ascii="Times New Roman" w:hAnsi="Times New Roman" w:cs="Times New Roman"/>
          <w:sz w:val="24"/>
          <w:szCs w:val="24"/>
        </w:rPr>
        <w:t xml:space="preserve"> The study design used both stratified and cluster sampling method where subgroup</w:t>
      </w:r>
      <w:r w:rsidR="006C1F84">
        <w:rPr>
          <w:rFonts w:ascii="Times New Roman" w:hAnsi="Times New Roman" w:cs="Times New Roman"/>
          <w:sz w:val="24"/>
          <w:szCs w:val="24"/>
        </w:rPr>
        <w:t>s</w:t>
      </w:r>
      <w:r w:rsidRPr="006C1F84">
        <w:rPr>
          <w:rFonts w:ascii="Times New Roman" w:hAnsi="Times New Roman" w:cs="Times New Roman"/>
          <w:sz w:val="24"/>
          <w:szCs w:val="24"/>
        </w:rPr>
        <w:t xml:space="preserve"> w</w:t>
      </w:r>
      <w:r w:rsidR="006C1F84">
        <w:rPr>
          <w:rFonts w:ascii="Times New Roman" w:hAnsi="Times New Roman" w:cs="Times New Roman"/>
          <w:sz w:val="24"/>
          <w:szCs w:val="24"/>
        </w:rPr>
        <w:t>ere</w:t>
      </w:r>
      <w:r w:rsidRPr="006C1F84">
        <w:rPr>
          <w:rFonts w:ascii="Times New Roman" w:hAnsi="Times New Roman" w:cs="Times New Roman"/>
          <w:sz w:val="24"/>
          <w:szCs w:val="24"/>
        </w:rPr>
        <w:t xml:space="preserve"> used to represent the entire group.</w:t>
      </w:r>
      <w:r w:rsidR="006C1F84">
        <w:rPr>
          <w:rFonts w:ascii="Times New Roman" w:hAnsi="Times New Roman" w:cs="Times New Roman"/>
          <w:sz w:val="24"/>
          <w:szCs w:val="24"/>
        </w:rPr>
        <w:t xml:space="preserve"> T</w:t>
      </w:r>
      <w:r w:rsidRPr="006C1F84">
        <w:rPr>
          <w:rFonts w:ascii="Times New Roman" w:hAnsi="Times New Roman" w:cs="Times New Roman"/>
          <w:sz w:val="24"/>
          <w:szCs w:val="24"/>
        </w:rPr>
        <w:t xml:space="preserve">he sampling methods were not effective because at some point they were conducted on a racial basis, socio-economic status as well as neighborhood clusters. Ideally, researchers could not have based the sampling methodology on race and socio-economic basis. Instead, every single cohort should be designed to incorporate sample population from different socio-economic status and races as well. The sampling design may be supported by the use of sample size estimation, the coefficient of variation, sampling frequency, </w:t>
      </w:r>
      <w:r w:rsidRPr="006C1F84">
        <w:rPr>
          <w:rFonts w:ascii="Times New Roman" w:hAnsi="Times New Roman" w:cs="Times New Roman"/>
          <w:sz w:val="24"/>
          <w:szCs w:val="24"/>
        </w:rPr>
        <w:lastRenderedPageBreak/>
        <w:t xml:space="preserve">and path distance analysis which will improve efficiency (Madigan et al., 2017). Suppose I have ten thousand dollars extra in my budget, I would in-service training for my workforce to improve their competence. Also, I would partition my cohort groups into small and manageable groups hence ensuring that every individual in the sample population contributes to the study. </w:t>
      </w:r>
    </w:p>
    <w:p w:rsidR="000A4397" w:rsidRPr="006C1F84" w:rsidRDefault="000A4397" w:rsidP="006C1F84">
      <w:pPr>
        <w:spacing w:line="480" w:lineRule="auto"/>
        <w:ind w:firstLine="720"/>
        <w:rPr>
          <w:rFonts w:ascii="Times New Roman" w:hAnsi="Times New Roman" w:cs="Times New Roman"/>
          <w:sz w:val="24"/>
          <w:szCs w:val="24"/>
        </w:rPr>
      </w:pPr>
      <w:r w:rsidRPr="006C1F84">
        <w:rPr>
          <w:rFonts w:ascii="Times New Roman" w:hAnsi="Times New Roman" w:cs="Times New Roman"/>
          <w:sz w:val="24"/>
          <w:szCs w:val="24"/>
        </w:rPr>
        <w:t>I do not find the research results trustworthy. Although the research applies probability sampling design which provides room people from different ethnic groups, social-economic status, and neighborhoods to contribute by outlining their experiences of violence across the age group, various ideas do not come out clearly. For instance, the study does not consider many of the sampling and statistical testing mechanisms.  The research did not cross-check on the aspect of null hypothesis, type I errors and type II errors. Lack of these crucial steps hinders researchers ability to answer questions associated with standards errors as well as confidence for research accuracy.</w:t>
      </w:r>
    </w:p>
    <w:p w:rsidR="000A4397" w:rsidRPr="006C1F84" w:rsidRDefault="000A4397" w:rsidP="006C1F84">
      <w:pPr>
        <w:spacing w:line="480" w:lineRule="auto"/>
        <w:ind w:firstLine="720"/>
        <w:rPr>
          <w:rFonts w:ascii="Times New Roman" w:hAnsi="Times New Roman" w:cs="Times New Roman"/>
          <w:sz w:val="24"/>
          <w:szCs w:val="24"/>
        </w:rPr>
      </w:pPr>
      <w:r w:rsidRPr="006C1F84">
        <w:rPr>
          <w:rFonts w:ascii="Times New Roman" w:hAnsi="Times New Roman" w:cs="Times New Roman"/>
          <w:sz w:val="24"/>
          <w:szCs w:val="24"/>
        </w:rPr>
        <w:t xml:space="preserve">Following the Institute of Drug Abuse </w:t>
      </w:r>
      <w:r w:rsidR="006C1F84">
        <w:rPr>
          <w:rFonts w:ascii="Times New Roman" w:hAnsi="Times New Roman" w:cs="Times New Roman"/>
          <w:sz w:val="24"/>
          <w:szCs w:val="24"/>
        </w:rPr>
        <w:t>(IDA) research design,</w:t>
      </w:r>
      <w:r w:rsidRPr="006C1F84">
        <w:rPr>
          <w:rFonts w:ascii="Times New Roman" w:hAnsi="Times New Roman" w:cs="Times New Roman"/>
          <w:sz w:val="24"/>
          <w:szCs w:val="24"/>
        </w:rPr>
        <w:t xml:space="preserve"> I will review various interdisciplinary variations among men, women, and juveniles thereby developing valid hypothesis provable by both statistical and mathematical means. I will consider partitioning the groups into small study groups through probability sampling design to avoid biases (Zimmerman &amp; Kushner, 2017). To enhance total inclusion of control group, questionnaires will be formulated and administered to the sample population thus examining how many respondents have experienced depression and anxiety. Moreover, questionnaires will help in determining how often each respondent has used drugs thus predetermining drug use patterns for these groups.</w:t>
      </w:r>
    </w:p>
    <w:p w:rsidR="006C1F84" w:rsidRPr="006C1F84" w:rsidRDefault="000A4397" w:rsidP="006C1F84">
      <w:pPr>
        <w:spacing w:line="480" w:lineRule="auto"/>
        <w:ind w:firstLine="720"/>
        <w:rPr>
          <w:rFonts w:ascii="Times New Roman" w:hAnsi="Times New Roman" w:cs="Times New Roman"/>
          <w:sz w:val="24"/>
          <w:szCs w:val="24"/>
        </w:rPr>
      </w:pPr>
      <w:r w:rsidRPr="006C1F84">
        <w:rPr>
          <w:rFonts w:ascii="Times New Roman" w:hAnsi="Times New Roman" w:cs="Times New Roman"/>
          <w:sz w:val="24"/>
          <w:szCs w:val="24"/>
        </w:rPr>
        <w:t>I consider generalization issue in my research design. This is because substance use cuts across all populations of research. To avoid erratic results, I will apply models of generalization such as analytic generalization, case-to-case transfer, and statistical g</w:t>
      </w:r>
      <w:bookmarkStart w:id="0" w:name="_GoBack"/>
      <w:bookmarkEnd w:id="0"/>
      <w:r w:rsidRPr="006C1F84">
        <w:rPr>
          <w:rFonts w:ascii="Times New Roman" w:hAnsi="Times New Roman" w:cs="Times New Roman"/>
          <w:sz w:val="24"/>
          <w:szCs w:val="24"/>
        </w:rPr>
        <w:t xml:space="preserve">eneralization. This will </w:t>
      </w:r>
      <w:r w:rsidRPr="006C1F84">
        <w:rPr>
          <w:rFonts w:ascii="Times New Roman" w:hAnsi="Times New Roman" w:cs="Times New Roman"/>
          <w:sz w:val="24"/>
          <w:szCs w:val="24"/>
        </w:rPr>
        <w:lastRenderedPageBreak/>
        <w:t>possibly cover issues such as sampling strategies, planned replications, reflexivity, systemic reviews and mixed method research.</w:t>
      </w: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FD3ABD" w:rsidRDefault="00FD3ABD" w:rsidP="006C1F84">
      <w:pPr>
        <w:spacing w:line="480" w:lineRule="auto"/>
        <w:jc w:val="center"/>
        <w:rPr>
          <w:rFonts w:ascii="Times New Roman" w:hAnsi="Times New Roman" w:cs="Times New Roman"/>
          <w:sz w:val="24"/>
          <w:szCs w:val="24"/>
        </w:rPr>
      </w:pPr>
    </w:p>
    <w:p w:rsidR="00374019" w:rsidRPr="006C1F84" w:rsidRDefault="00374019" w:rsidP="006C1F84">
      <w:pPr>
        <w:spacing w:line="480" w:lineRule="auto"/>
        <w:jc w:val="center"/>
        <w:rPr>
          <w:rFonts w:ascii="Times New Roman" w:hAnsi="Times New Roman" w:cs="Times New Roman"/>
          <w:sz w:val="24"/>
          <w:szCs w:val="24"/>
        </w:rPr>
      </w:pPr>
      <w:r w:rsidRPr="006C1F84">
        <w:rPr>
          <w:rFonts w:ascii="Times New Roman" w:hAnsi="Times New Roman" w:cs="Times New Roman"/>
          <w:sz w:val="24"/>
          <w:szCs w:val="24"/>
        </w:rPr>
        <w:lastRenderedPageBreak/>
        <w:t>References.</w:t>
      </w:r>
    </w:p>
    <w:p w:rsidR="006C1F84" w:rsidRPr="006C1F84" w:rsidRDefault="006C1F84" w:rsidP="00FD3ABD">
      <w:pPr>
        <w:spacing w:line="480" w:lineRule="auto"/>
        <w:ind w:left="1008" w:hanging="1008"/>
        <w:rPr>
          <w:rFonts w:ascii="Times New Roman" w:hAnsi="Times New Roman" w:cs="Times New Roman"/>
          <w:sz w:val="24"/>
          <w:szCs w:val="24"/>
        </w:rPr>
      </w:pPr>
      <w:r w:rsidRPr="006C1F84">
        <w:rPr>
          <w:rFonts w:ascii="Times New Roman" w:hAnsi="Times New Roman" w:cs="Times New Roman"/>
          <w:color w:val="222222"/>
          <w:sz w:val="24"/>
          <w:szCs w:val="24"/>
          <w:shd w:val="clear" w:color="auto" w:fill="FFFFFF"/>
        </w:rPr>
        <w:t>Fagan, A. A., Wright, E. M., &amp; Pinchevsky, G. M. (2014). The protective effects of neighborhood collective efficacy on adolescent substance use and violence following exposure to violence. </w:t>
      </w:r>
      <w:r w:rsidRPr="006C1F84">
        <w:rPr>
          <w:rFonts w:ascii="Times New Roman" w:hAnsi="Times New Roman" w:cs="Times New Roman"/>
          <w:i/>
          <w:iCs/>
          <w:color w:val="222222"/>
          <w:sz w:val="24"/>
          <w:szCs w:val="24"/>
          <w:shd w:val="clear" w:color="auto" w:fill="FFFFFF"/>
        </w:rPr>
        <w:t>Journal of youth and adolescence</w:t>
      </w:r>
      <w:r w:rsidRPr="006C1F84">
        <w:rPr>
          <w:rFonts w:ascii="Times New Roman" w:hAnsi="Times New Roman" w:cs="Times New Roman"/>
          <w:color w:val="222222"/>
          <w:sz w:val="24"/>
          <w:szCs w:val="24"/>
          <w:shd w:val="clear" w:color="auto" w:fill="FFFFFF"/>
        </w:rPr>
        <w:t>, </w:t>
      </w:r>
      <w:r w:rsidRPr="006C1F84">
        <w:rPr>
          <w:rFonts w:ascii="Times New Roman" w:hAnsi="Times New Roman" w:cs="Times New Roman"/>
          <w:i/>
          <w:iCs/>
          <w:color w:val="222222"/>
          <w:sz w:val="24"/>
          <w:szCs w:val="24"/>
          <w:shd w:val="clear" w:color="auto" w:fill="FFFFFF"/>
        </w:rPr>
        <w:t>43</w:t>
      </w:r>
      <w:r w:rsidRPr="006C1F84">
        <w:rPr>
          <w:rFonts w:ascii="Times New Roman" w:hAnsi="Times New Roman" w:cs="Times New Roman"/>
          <w:color w:val="222222"/>
          <w:sz w:val="24"/>
          <w:szCs w:val="24"/>
          <w:shd w:val="clear" w:color="auto" w:fill="FFFFFF"/>
        </w:rPr>
        <w:t>(9), 1498-1512.</w:t>
      </w:r>
    </w:p>
    <w:p w:rsidR="006C1F84" w:rsidRPr="006C1F84" w:rsidRDefault="006C1F84" w:rsidP="00FD3ABD">
      <w:pPr>
        <w:spacing w:line="480" w:lineRule="auto"/>
        <w:ind w:left="1008" w:hanging="1008"/>
        <w:rPr>
          <w:rFonts w:ascii="Times New Roman" w:hAnsi="Times New Roman" w:cs="Times New Roman"/>
          <w:color w:val="222222"/>
          <w:sz w:val="24"/>
          <w:szCs w:val="24"/>
          <w:shd w:val="clear" w:color="auto" w:fill="FFFFFF"/>
        </w:rPr>
      </w:pPr>
      <w:r w:rsidRPr="006C1F84">
        <w:rPr>
          <w:rFonts w:ascii="Times New Roman" w:hAnsi="Times New Roman" w:cs="Times New Roman"/>
          <w:color w:val="222222"/>
          <w:sz w:val="24"/>
          <w:szCs w:val="24"/>
          <w:shd w:val="clear" w:color="auto" w:fill="FFFFFF"/>
        </w:rPr>
        <w:t>Madigan, S., Wade, M., Plamondon, A., &amp; Jenkins, J. M. (2016). Neighborhood collective efficacy moderates the association between maternal adverse childhood experiences and marital conflict. </w:t>
      </w:r>
      <w:r w:rsidRPr="006C1F84">
        <w:rPr>
          <w:rFonts w:ascii="Times New Roman" w:hAnsi="Times New Roman" w:cs="Times New Roman"/>
          <w:i/>
          <w:iCs/>
          <w:color w:val="222222"/>
          <w:sz w:val="24"/>
          <w:szCs w:val="24"/>
          <w:shd w:val="clear" w:color="auto" w:fill="FFFFFF"/>
        </w:rPr>
        <w:t>American journal of community psychology</w:t>
      </w:r>
      <w:r w:rsidRPr="006C1F84">
        <w:rPr>
          <w:rFonts w:ascii="Times New Roman" w:hAnsi="Times New Roman" w:cs="Times New Roman"/>
          <w:color w:val="222222"/>
          <w:sz w:val="24"/>
          <w:szCs w:val="24"/>
          <w:shd w:val="clear" w:color="auto" w:fill="FFFFFF"/>
        </w:rPr>
        <w:t>, </w:t>
      </w:r>
      <w:r w:rsidRPr="006C1F84">
        <w:rPr>
          <w:rFonts w:ascii="Times New Roman" w:hAnsi="Times New Roman" w:cs="Times New Roman"/>
          <w:i/>
          <w:iCs/>
          <w:color w:val="222222"/>
          <w:sz w:val="24"/>
          <w:szCs w:val="24"/>
          <w:shd w:val="clear" w:color="auto" w:fill="FFFFFF"/>
        </w:rPr>
        <w:t>57</w:t>
      </w:r>
      <w:r w:rsidRPr="006C1F84">
        <w:rPr>
          <w:rFonts w:ascii="Times New Roman" w:hAnsi="Times New Roman" w:cs="Times New Roman"/>
          <w:color w:val="222222"/>
          <w:sz w:val="24"/>
          <w:szCs w:val="24"/>
          <w:shd w:val="clear" w:color="auto" w:fill="FFFFFF"/>
        </w:rPr>
        <w:t>(3-4), 437-447.</w:t>
      </w:r>
    </w:p>
    <w:p w:rsidR="006C1F84" w:rsidRPr="006C1F84" w:rsidRDefault="006C1F84" w:rsidP="00FD3ABD">
      <w:pPr>
        <w:spacing w:line="480" w:lineRule="auto"/>
        <w:ind w:left="1008" w:hanging="1008"/>
        <w:rPr>
          <w:rFonts w:ascii="Times New Roman" w:hAnsi="Times New Roman" w:cs="Times New Roman"/>
          <w:sz w:val="24"/>
          <w:szCs w:val="24"/>
        </w:rPr>
      </w:pPr>
      <w:r w:rsidRPr="006C1F84">
        <w:rPr>
          <w:rFonts w:ascii="Times New Roman" w:hAnsi="Times New Roman" w:cs="Times New Roman"/>
          <w:color w:val="222222"/>
          <w:sz w:val="24"/>
          <w:szCs w:val="24"/>
          <w:shd w:val="clear" w:color="auto" w:fill="FFFFFF"/>
        </w:rPr>
        <w:t>Newbury, J., Arseneault, L., Caspi, A., Moffitt, T. E., Odgers, C. L., &amp; Fisher, H. L. (2017). Cumulative Effects of Neighborhood Social Adversity and Personal Crime Victimization on Adolescent Psychotic Experiences. </w:t>
      </w:r>
      <w:r w:rsidRPr="006C1F84">
        <w:rPr>
          <w:rFonts w:ascii="Times New Roman" w:hAnsi="Times New Roman" w:cs="Times New Roman"/>
          <w:i/>
          <w:iCs/>
          <w:color w:val="222222"/>
          <w:sz w:val="24"/>
          <w:szCs w:val="24"/>
          <w:shd w:val="clear" w:color="auto" w:fill="FFFFFF"/>
        </w:rPr>
        <w:t>Schizophrenia Bulletin</w:t>
      </w:r>
      <w:r w:rsidRPr="006C1F84">
        <w:rPr>
          <w:rFonts w:ascii="Times New Roman" w:hAnsi="Times New Roman" w:cs="Times New Roman"/>
          <w:color w:val="222222"/>
          <w:sz w:val="24"/>
          <w:szCs w:val="24"/>
          <w:shd w:val="clear" w:color="auto" w:fill="FFFFFF"/>
        </w:rPr>
        <w:t>, sbx060.</w:t>
      </w:r>
    </w:p>
    <w:p w:rsidR="006C1F84" w:rsidRPr="006C1F84" w:rsidRDefault="006C1F84" w:rsidP="00FD3ABD">
      <w:pPr>
        <w:spacing w:line="480" w:lineRule="auto"/>
        <w:ind w:left="1008" w:hanging="1008"/>
        <w:rPr>
          <w:rFonts w:ascii="Times New Roman" w:hAnsi="Times New Roman" w:cs="Times New Roman"/>
          <w:color w:val="222222"/>
          <w:sz w:val="24"/>
          <w:szCs w:val="24"/>
          <w:shd w:val="clear" w:color="auto" w:fill="FFFFFF"/>
        </w:rPr>
      </w:pPr>
      <w:r w:rsidRPr="006C1F84">
        <w:rPr>
          <w:rFonts w:ascii="Times New Roman" w:hAnsi="Times New Roman" w:cs="Times New Roman"/>
          <w:color w:val="222222"/>
          <w:sz w:val="24"/>
          <w:szCs w:val="24"/>
          <w:shd w:val="clear" w:color="auto" w:fill="FFFFFF"/>
        </w:rPr>
        <w:t>Zimmerman, G. M., &amp; Kushner, M. (2017). Examining the contemporaneous, short-term, and long-term effects of secondary exposure to violence on adolescent substance use. </w:t>
      </w:r>
      <w:r w:rsidRPr="006C1F84">
        <w:rPr>
          <w:rFonts w:ascii="Times New Roman" w:hAnsi="Times New Roman" w:cs="Times New Roman"/>
          <w:i/>
          <w:iCs/>
          <w:color w:val="222222"/>
          <w:sz w:val="24"/>
          <w:szCs w:val="24"/>
          <w:shd w:val="clear" w:color="auto" w:fill="FFFFFF"/>
        </w:rPr>
        <w:t>Journal of youth and adolescence</w:t>
      </w:r>
      <w:r w:rsidRPr="006C1F84">
        <w:rPr>
          <w:rFonts w:ascii="Times New Roman" w:hAnsi="Times New Roman" w:cs="Times New Roman"/>
          <w:color w:val="222222"/>
          <w:sz w:val="24"/>
          <w:szCs w:val="24"/>
          <w:shd w:val="clear" w:color="auto" w:fill="FFFFFF"/>
        </w:rPr>
        <w:t>, 1-20.</w:t>
      </w:r>
    </w:p>
    <w:sectPr w:rsidR="006C1F84" w:rsidRPr="006C1F84" w:rsidSect="000A43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7C1D" w:rsidRDefault="00237C1D" w:rsidP="00B05FD0">
      <w:pPr>
        <w:spacing w:after="0" w:line="240" w:lineRule="auto"/>
      </w:pPr>
      <w:r>
        <w:separator/>
      </w:r>
    </w:p>
  </w:endnote>
  <w:endnote w:type="continuationSeparator" w:id="1">
    <w:p w:rsidR="00237C1D" w:rsidRDefault="00237C1D" w:rsidP="00B05F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7C1D" w:rsidRDefault="00237C1D" w:rsidP="00B05FD0">
      <w:pPr>
        <w:spacing w:after="0" w:line="240" w:lineRule="auto"/>
      </w:pPr>
      <w:r>
        <w:separator/>
      </w:r>
    </w:p>
  </w:footnote>
  <w:footnote w:type="continuationSeparator" w:id="1">
    <w:p w:rsidR="00237C1D" w:rsidRDefault="00237C1D" w:rsidP="00B05F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F84" w:rsidRPr="006C1F84" w:rsidRDefault="006C1F84">
    <w:pPr>
      <w:pStyle w:val="Header"/>
      <w:rPr>
        <w:rFonts w:ascii="Times New Roman" w:hAnsi="Times New Roman" w:cs="Times New Roman"/>
        <w:sz w:val="24"/>
        <w:szCs w:val="24"/>
      </w:rPr>
    </w:pPr>
    <w:r w:rsidRPr="006C1F84">
      <w:rPr>
        <w:rFonts w:ascii="Times New Roman" w:hAnsi="Times New Roman" w:cs="Times New Roman"/>
        <w:sz w:val="24"/>
        <w:szCs w:val="24"/>
      </w:rPr>
      <w:t>RESEARCH PAPER REVIEW.</w:t>
    </w:r>
    <w:r w:rsidRPr="006C1F84">
      <w:rPr>
        <w:rFonts w:ascii="Times New Roman" w:hAnsi="Times New Roman" w:cs="Times New Roman"/>
        <w:sz w:val="24"/>
        <w:szCs w:val="24"/>
      </w:rPr>
      <w:tab/>
    </w:r>
    <w:r w:rsidRPr="006C1F84">
      <w:rPr>
        <w:rFonts w:ascii="Times New Roman" w:hAnsi="Times New Roman" w:cs="Times New Roman"/>
        <w:sz w:val="24"/>
        <w:szCs w:val="24"/>
      </w:rPr>
      <w:tab/>
    </w:r>
    <w:sdt>
      <w:sdtPr>
        <w:rPr>
          <w:rFonts w:ascii="Times New Roman" w:hAnsi="Times New Roman" w:cs="Times New Roman"/>
          <w:sz w:val="24"/>
          <w:szCs w:val="24"/>
        </w:rPr>
        <w:id w:val="404808593"/>
        <w:docPartObj>
          <w:docPartGallery w:val="Page Numbers (Top of Page)"/>
          <w:docPartUnique/>
        </w:docPartObj>
      </w:sdtPr>
      <w:sdtEndPr>
        <w:rPr>
          <w:noProof/>
        </w:rPr>
      </w:sdtEndPr>
      <w:sdtContent>
        <w:r w:rsidR="004F6F1F" w:rsidRPr="006C1F84">
          <w:rPr>
            <w:rFonts w:ascii="Times New Roman" w:hAnsi="Times New Roman" w:cs="Times New Roman"/>
            <w:sz w:val="24"/>
            <w:szCs w:val="24"/>
          </w:rPr>
          <w:fldChar w:fldCharType="begin"/>
        </w:r>
        <w:r w:rsidRPr="006C1F84">
          <w:rPr>
            <w:rFonts w:ascii="Times New Roman" w:hAnsi="Times New Roman" w:cs="Times New Roman"/>
            <w:sz w:val="24"/>
            <w:szCs w:val="24"/>
          </w:rPr>
          <w:instrText xml:space="preserve"> PAGE   \* MERGEFORMAT </w:instrText>
        </w:r>
        <w:r w:rsidR="004F6F1F" w:rsidRPr="006C1F84">
          <w:rPr>
            <w:rFonts w:ascii="Times New Roman" w:hAnsi="Times New Roman" w:cs="Times New Roman"/>
            <w:sz w:val="24"/>
            <w:szCs w:val="24"/>
          </w:rPr>
          <w:fldChar w:fldCharType="separate"/>
        </w:r>
        <w:r w:rsidR="00FD3ABD">
          <w:rPr>
            <w:rFonts w:ascii="Times New Roman" w:hAnsi="Times New Roman" w:cs="Times New Roman"/>
            <w:noProof/>
            <w:sz w:val="24"/>
            <w:szCs w:val="24"/>
          </w:rPr>
          <w:t>2</w:t>
        </w:r>
        <w:r w:rsidR="004F6F1F" w:rsidRPr="006C1F84">
          <w:rPr>
            <w:rFonts w:ascii="Times New Roman" w:hAnsi="Times New Roman" w:cs="Times New Roman"/>
            <w:noProof/>
            <w:sz w:val="24"/>
            <w:szCs w:val="24"/>
          </w:rPr>
          <w:fldChar w:fldCharType="end"/>
        </w:r>
      </w:sdtContent>
    </w:sdt>
  </w:p>
  <w:p w:rsidR="000A4397" w:rsidRPr="006C1F84" w:rsidRDefault="000A439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97" w:rsidRPr="000A4397" w:rsidRDefault="000A4397" w:rsidP="000A4397">
    <w:pPr>
      <w:rPr>
        <w:rFonts w:ascii="Times New Roman" w:hAnsi="Times New Roman" w:cs="Times New Roman"/>
        <w:sz w:val="24"/>
        <w:szCs w:val="24"/>
      </w:rPr>
    </w:pPr>
    <w:r w:rsidRPr="006C1F84">
      <w:rPr>
        <w:rFonts w:ascii="Times New Roman" w:hAnsi="Times New Roman" w:cs="Times New Roman"/>
        <w:sz w:val="24"/>
        <w:szCs w:val="24"/>
      </w:rPr>
      <w:t>Running Head: RESEARCH PAPER REVIEW</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77371170"/>
        <w:docPartObj>
          <w:docPartGallery w:val="Page Numbers (Top of Page)"/>
          <w:docPartUnique/>
        </w:docPartObj>
      </w:sdtPr>
      <w:sdtEndPr>
        <w:rPr>
          <w:noProof/>
        </w:rPr>
      </w:sdtEndPr>
      <w:sdtContent>
        <w:r w:rsidR="004F6F1F">
          <w:fldChar w:fldCharType="begin"/>
        </w:r>
        <w:r>
          <w:instrText xml:space="preserve"> PAGE   \* MERGEFORMAT </w:instrText>
        </w:r>
        <w:r w:rsidR="004F6F1F">
          <w:fldChar w:fldCharType="separate"/>
        </w:r>
        <w:r w:rsidR="00FD3ABD">
          <w:rPr>
            <w:noProof/>
          </w:rPr>
          <w:t>1</w:t>
        </w:r>
        <w:r w:rsidR="004F6F1F">
          <w:rPr>
            <w:noProof/>
          </w:rPr>
          <w:fldChar w:fldCharType="end"/>
        </w:r>
      </w:sdtContent>
    </w:sdt>
  </w:p>
  <w:p w:rsidR="000A4397" w:rsidRDefault="000A43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2C27"/>
    <w:rsid w:val="000A4397"/>
    <w:rsid w:val="000F5E4C"/>
    <w:rsid w:val="00176C80"/>
    <w:rsid w:val="00237C1D"/>
    <w:rsid w:val="002516CC"/>
    <w:rsid w:val="0026266F"/>
    <w:rsid w:val="00296EFF"/>
    <w:rsid w:val="00374019"/>
    <w:rsid w:val="004E207E"/>
    <w:rsid w:val="004F6F1F"/>
    <w:rsid w:val="004F77E7"/>
    <w:rsid w:val="006C1F84"/>
    <w:rsid w:val="006D2889"/>
    <w:rsid w:val="007549C8"/>
    <w:rsid w:val="00781B66"/>
    <w:rsid w:val="007935D1"/>
    <w:rsid w:val="007A2C27"/>
    <w:rsid w:val="007B048B"/>
    <w:rsid w:val="0082260C"/>
    <w:rsid w:val="008F7EA1"/>
    <w:rsid w:val="00956E35"/>
    <w:rsid w:val="00B05A85"/>
    <w:rsid w:val="00B05FD0"/>
    <w:rsid w:val="00B87479"/>
    <w:rsid w:val="00B95434"/>
    <w:rsid w:val="00BA54E9"/>
    <w:rsid w:val="00C929BA"/>
    <w:rsid w:val="00CA1712"/>
    <w:rsid w:val="00D81562"/>
    <w:rsid w:val="00D91D3A"/>
    <w:rsid w:val="00DA1817"/>
    <w:rsid w:val="00DB5CEF"/>
    <w:rsid w:val="00E5671F"/>
    <w:rsid w:val="00E60FE5"/>
    <w:rsid w:val="00F11B52"/>
    <w:rsid w:val="00F47BEC"/>
    <w:rsid w:val="00F60A78"/>
    <w:rsid w:val="00F61C61"/>
    <w:rsid w:val="00FD3A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F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5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FD0"/>
  </w:style>
  <w:style w:type="paragraph" w:styleId="Footer">
    <w:name w:val="footer"/>
    <w:basedOn w:val="Normal"/>
    <w:link w:val="FooterChar"/>
    <w:uiPriority w:val="99"/>
    <w:unhideWhenUsed/>
    <w:rsid w:val="00B05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FD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E24CD-0E09-4B8E-B8BD-161AE9096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1641</Words>
  <Characters>9360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2017-12-06T04:48:00Z</dcterms:created>
  <dcterms:modified xsi:type="dcterms:W3CDTF">2017-12-06T04:48:00Z</dcterms:modified>
</cp:coreProperties>
</file>